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r w:rsidRPr="00BD3415">
        <w:rPr>
          <w:rFonts w:ascii="Times New Roman" w:hAnsi="Times New Roman" w:cs="Times New Roman"/>
          <w:sz w:val="24"/>
          <w:szCs w:val="24"/>
        </w:rPr>
        <w:t>Name</w:t>
      </w:r>
    </w:p>
    <w:p w:rsidR="00BD3415" w:rsidRPr="00BD3415" w:rsidRDefault="00BD3415" w:rsidP="00BD3415">
      <w:pPr>
        <w:spacing w:line="480" w:lineRule="auto"/>
        <w:jc w:val="center"/>
        <w:rPr>
          <w:rFonts w:ascii="Times New Roman" w:hAnsi="Times New Roman" w:cs="Times New Roman"/>
          <w:sz w:val="24"/>
          <w:szCs w:val="24"/>
        </w:rPr>
      </w:pPr>
      <w:r w:rsidRPr="00BD3415">
        <w:rPr>
          <w:rFonts w:ascii="Times New Roman" w:hAnsi="Times New Roman" w:cs="Times New Roman"/>
          <w:sz w:val="24"/>
          <w:szCs w:val="24"/>
        </w:rPr>
        <w:t>Institution</w:t>
      </w:r>
    </w:p>
    <w:p w:rsidR="00BD3415" w:rsidRPr="00BD3415" w:rsidRDefault="00BD3415" w:rsidP="00BD3415">
      <w:pPr>
        <w:spacing w:line="480" w:lineRule="auto"/>
        <w:jc w:val="center"/>
        <w:rPr>
          <w:rFonts w:ascii="Times New Roman" w:hAnsi="Times New Roman" w:cs="Times New Roman"/>
          <w:sz w:val="24"/>
          <w:szCs w:val="24"/>
        </w:rPr>
      </w:pPr>
      <w:r w:rsidRPr="00BD3415">
        <w:rPr>
          <w:rFonts w:ascii="Times New Roman" w:hAnsi="Times New Roman" w:cs="Times New Roman"/>
          <w:sz w:val="24"/>
          <w:szCs w:val="24"/>
        </w:rPr>
        <w:t>Date</w:t>
      </w:r>
    </w:p>
    <w:p w:rsidR="00BD3415" w:rsidRPr="00BD3415" w:rsidRDefault="00BD3415" w:rsidP="00BD3415">
      <w:pPr>
        <w:spacing w:line="480" w:lineRule="auto"/>
        <w:jc w:val="center"/>
        <w:rPr>
          <w:rFonts w:ascii="Times New Roman" w:hAnsi="Times New Roman" w:cs="Times New Roman"/>
          <w:sz w:val="24"/>
          <w:szCs w:val="24"/>
        </w:rPr>
      </w:pPr>
      <w:r w:rsidRPr="00BD3415">
        <w:rPr>
          <w:rFonts w:ascii="Times New Roman" w:hAnsi="Times New Roman" w:cs="Times New Roman"/>
          <w:sz w:val="24"/>
          <w:szCs w:val="24"/>
        </w:rPr>
        <w:t>ACCT</w:t>
      </w:r>
      <w:r w:rsidRPr="00BD3415">
        <w:rPr>
          <w:rFonts w:ascii="Times New Roman" w:hAnsi="Times New Roman" w:cs="Times New Roman"/>
          <w:sz w:val="24"/>
          <w:szCs w:val="24"/>
        </w:rPr>
        <w:t xml:space="preserve"> 2028 Taxation Assignment</w:t>
      </w: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p>
    <w:p w:rsidR="00BD3415" w:rsidRPr="00BD3415" w:rsidRDefault="00BD3415" w:rsidP="00BD3415">
      <w:pPr>
        <w:spacing w:line="480" w:lineRule="auto"/>
        <w:jc w:val="center"/>
        <w:rPr>
          <w:rFonts w:ascii="Times New Roman" w:hAnsi="Times New Roman" w:cs="Times New Roman"/>
          <w:sz w:val="24"/>
          <w:szCs w:val="24"/>
        </w:rPr>
      </w:pPr>
      <w:r w:rsidRPr="00BD3415">
        <w:rPr>
          <w:rFonts w:ascii="Times New Roman" w:hAnsi="Times New Roman" w:cs="Times New Roman"/>
          <w:sz w:val="24"/>
          <w:szCs w:val="24"/>
        </w:rPr>
        <w:lastRenderedPageBreak/>
        <w:t>ACCT 2028 Taxation Assignment</w:t>
      </w:r>
    </w:p>
    <w:p w:rsidR="00BD3415" w:rsidRPr="00BD3415" w:rsidRDefault="00503B92" w:rsidP="00BD341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D5C34" w:rsidRPr="00BD3415">
        <w:rPr>
          <w:rFonts w:ascii="Times New Roman" w:hAnsi="Times New Roman" w:cs="Times New Roman"/>
          <w:sz w:val="24"/>
          <w:szCs w:val="24"/>
        </w:rPr>
        <w:t xml:space="preserve">A tax deduction is the amount that a business pays in </w:t>
      </w:r>
      <w:r w:rsidR="00BD3415" w:rsidRPr="00BD3415">
        <w:rPr>
          <w:rFonts w:ascii="Times New Roman" w:hAnsi="Times New Roman" w:cs="Times New Roman"/>
          <w:sz w:val="24"/>
          <w:szCs w:val="24"/>
        </w:rPr>
        <w:t>taxes. Some</w:t>
      </w:r>
      <w:r w:rsidR="009D5C34" w:rsidRPr="00BD3415">
        <w:rPr>
          <w:rFonts w:ascii="Times New Roman" w:hAnsi="Times New Roman" w:cs="Times New Roman"/>
          <w:sz w:val="24"/>
          <w:szCs w:val="24"/>
        </w:rPr>
        <w:t xml:space="preserve"> insurance payments are tax deductible while others are not deductible. This depends on the classification of the premiums. If the premiums are ordinary and necessary costs, they are businesses expen</w:t>
      </w:r>
      <w:r w:rsidR="00BD3415" w:rsidRPr="00BD3415">
        <w:rPr>
          <w:rFonts w:ascii="Times New Roman" w:hAnsi="Times New Roman" w:cs="Times New Roman"/>
          <w:sz w:val="24"/>
          <w:szCs w:val="24"/>
        </w:rPr>
        <w:t>ses and therefore tax allowable (</w:t>
      </w:r>
      <w:r w:rsidR="00BD3415" w:rsidRPr="00BD3415">
        <w:rPr>
          <w:rFonts w:ascii="Times New Roman" w:hAnsi="Times New Roman" w:cs="Times New Roman"/>
          <w:sz w:val="24"/>
          <w:szCs w:val="24"/>
          <w:shd w:val="clear" w:color="auto" w:fill="FFFFFF"/>
        </w:rPr>
        <w:t>SI</w:t>
      </w:r>
      <w:r w:rsidR="00BD3415" w:rsidRPr="00BD3415">
        <w:rPr>
          <w:rFonts w:ascii="Times New Roman" w:hAnsi="Times New Roman" w:cs="Times New Roman"/>
          <w:sz w:val="24"/>
          <w:szCs w:val="24"/>
          <w:shd w:val="clear" w:color="auto" w:fill="FFFFFF"/>
        </w:rPr>
        <w:t>, Darma</w:t>
      </w:r>
      <w:r w:rsidR="00BD3415" w:rsidRPr="00BD3415">
        <w:rPr>
          <w:rFonts w:ascii="Times New Roman" w:hAnsi="Times New Roman" w:cs="Times New Roman"/>
          <w:sz w:val="24"/>
          <w:szCs w:val="24"/>
          <w:shd w:val="clear" w:color="auto" w:fill="FFFFFF"/>
        </w:rPr>
        <w:t xml:space="preserve">yasa, &amp; Purwanta, </w:t>
      </w:r>
      <w:r w:rsidR="00BD3415" w:rsidRPr="00BD3415">
        <w:rPr>
          <w:rFonts w:ascii="Times New Roman" w:hAnsi="Times New Roman" w:cs="Times New Roman"/>
          <w:sz w:val="24"/>
          <w:szCs w:val="24"/>
          <w:shd w:val="clear" w:color="auto" w:fill="FFFFFF"/>
        </w:rPr>
        <w:t>2020)</w:t>
      </w:r>
      <w:r w:rsidR="00BD3415" w:rsidRPr="00BD3415">
        <w:rPr>
          <w:rFonts w:ascii="Times New Roman" w:hAnsi="Times New Roman" w:cs="Times New Roman"/>
          <w:sz w:val="24"/>
          <w:szCs w:val="24"/>
          <w:shd w:val="clear" w:color="auto" w:fill="FFFFFF"/>
        </w:rPr>
        <w:t>.</w:t>
      </w:r>
      <w:r w:rsidR="009D5C34" w:rsidRPr="00BD3415">
        <w:rPr>
          <w:rFonts w:ascii="Times New Roman" w:hAnsi="Times New Roman" w:cs="Times New Roman"/>
          <w:sz w:val="24"/>
          <w:szCs w:val="24"/>
        </w:rPr>
        <w:t xml:space="preserve"> </w:t>
      </w:r>
      <w:r w:rsidR="00A23E1B" w:rsidRPr="00BD3415">
        <w:rPr>
          <w:rFonts w:ascii="Times New Roman" w:hAnsi="Times New Roman" w:cs="Times New Roman"/>
          <w:sz w:val="24"/>
          <w:szCs w:val="24"/>
        </w:rPr>
        <w:t xml:space="preserve">A </w:t>
      </w:r>
      <w:r w:rsidR="00BD3415" w:rsidRPr="00BD3415">
        <w:rPr>
          <w:rFonts w:ascii="Times New Roman" w:hAnsi="Times New Roman" w:cs="Times New Roman"/>
          <w:sz w:val="24"/>
          <w:szCs w:val="24"/>
        </w:rPr>
        <w:t>tax</w:t>
      </w:r>
      <w:r w:rsidR="00A23E1B" w:rsidRPr="00BD3415">
        <w:rPr>
          <w:rFonts w:ascii="Times New Roman" w:hAnsi="Times New Roman" w:cs="Times New Roman"/>
          <w:sz w:val="24"/>
          <w:szCs w:val="24"/>
        </w:rPr>
        <w:t xml:space="preserve"> deduction reduces tax liability of a business by </w:t>
      </w:r>
      <w:r w:rsidR="00EE4B7B" w:rsidRPr="00BD3415">
        <w:rPr>
          <w:rFonts w:ascii="Times New Roman" w:hAnsi="Times New Roman" w:cs="Times New Roman"/>
          <w:sz w:val="24"/>
          <w:szCs w:val="24"/>
        </w:rPr>
        <w:t>reducing</w:t>
      </w:r>
      <w:r w:rsidR="00A23E1B" w:rsidRPr="00BD3415">
        <w:rPr>
          <w:rFonts w:ascii="Times New Roman" w:hAnsi="Times New Roman" w:cs="Times New Roman"/>
          <w:sz w:val="24"/>
          <w:szCs w:val="24"/>
        </w:rPr>
        <w:t xml:space="preserve"> the taxable income. Allowable expenses are expenses for which a person or a company is allowed to deduct for tax purposes. In this paper, we </w:t>
      </w:r>
      <w:r w:rsidR="00EE4B7B" w:rsidRPr="00BD3415">
        <w:rPr>
          <w:rFonts w:ascii="Times New Roman" w:hAnsi="Times New Roman" w:cs="Times New Roman"/>
          <w:sz w:val="24"/>
          <w:szCs w:val="24"/>
        </w:rPr>
        <w:t>analyze</w:t>
      </w:r>
      <w:r w:rsidR="00A23E1B" w:rsidRPr="00BD3415">
        <w:rPr>
          <w:rFonts w:ascii="Times New Roman" w:hAnsi="Times New Roman" w:cs="Times New Roman"/>
          <w:sz w:val="24"/>
          <w:szCs w:val="24"/>
        </w:rPr>
        <w:t xml:space="preserve"> the tax deductibility of Dr. </w:t>
      </w:r>
      <w:r w:rsidR="00EE4B7B" w:rsidRPr="00BD3415">
        <w:rPr>
          <w:rFonts w:ascii="Times New Roman" w:hAnsi="Times New Roman" w:cs="Times New Roman"/>
          <w:sz w:val="24"/>
          <w:szCs w:val="24"/>
        </w:rPr>
        <w:t>Sweet</w:t>
      </w:r>
      <w:r w:rsidR="00A23E1B" w:rsidRPr="00BD3415">
        <w:rPr>
          <w:rFonts w:ascii="Times New Roman" w:hAnsi="Times New Roman" w:cs="Times New Roman"/>
          <w:sz w:val="24"/>
          <w:szCs w:val="24"/>
        </w:rPr>
        <w:t xml:space="preserve"> expenses. </w:t>
      </w:r>
    </w:p>
    <w:p w:rsidR="00A23E1B" w:rsidRPr="00503B92" w:rsidRDefault="00503B92" w:rsidP="00503B9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3E1B" w:rsidRPr="00503B92">
        <w:rPr>
          <w:rFonts w:ascii="Times New Roman" w:hAnsi="Times New Roman" w:cs="Times New Roman"/>
          <w:sz w:val="24"/>
          <w:szCs w:val="24"/>
        </w:rPr>
        <w:t xml:space="preserve">Doctor </w:t>
      </w:r>
      <w:r w:rsidR="00EE4B7B" w:rsidRPr="00503B92">
        <w:rPr>
          <w:rFonts w:ascii="Times New Roman" w:hAnsi="Times New Roman" w:cs="Times New Roman"/>
          <w:sz w:val="24"/>
          <w:szCs w:val="24"/>
        </w:rPr>
        <w:t>Sweet</w:t>
      </w:r>
      <w:r w:rsidR="00A23E1B" w:rsidRPr="00503B92">
        <w:rPr>
          <w:rFonts w:ascii="Times New Roman" w:hAnsi="Times New Roman" w:cs="Times New Roman"/>
          <w:sz w:val="24"/>
          <w:szCs w:val="24"/>
        </w:rPr>
        <w:t xml:space="preserve"> paid insurance payments which included $680 for coverage of her office and business. Insurance for coverage of office and contents is a business expense. As </w:t>
      </w:r>
      <w:r>
        <w:rPr>
          <w:rFonts w:ascii="Times New Roman" w:hAnsi="Times New Roman" w:cs="Times New Roman"/>
          <w:sz w:val="24"/>
          <w:szCs w:val="24"/>
        </w:rPr>
        <w:t>a result, it is tax-</w:t>
      </w:r>
      <w:r w:rsidR="00A23E1B" w:rsidRPr="00503B92">
        <w:rPr>
          <w:rFonts w:ascii="Times New Roman" w:hAnsi="Times New Roman" w:cs="Times New Roman"/>
          <w:sz w:val="24"/>
          <w:szCs w:val="24"/>
        </w:rPr>
        <w:t xml:space="preserve">deductible. </w:t>
      </w:r>
      <w:r w:rsidR="00EE4B7B" w:rsidRPr="00503B92">
        <w:rPr>
          <w:rFonts w:ascii="Times New Roman" w:hAnsi="Times New Roman" w:cs="Times New Roman"/>
          <w:sz w:val="24"/>
          <w:szCs w:val="24"/>
        </w:rPr>
        <w:t xml:space="preserve">Dr. Sweet also paid $1800 as malpractice coverage. According to IRS 529, malpractice insurance premium is considered as employee expense that is unreimbursed. If it </w:t>
      </w:r>
      <w:r w:rsidR="00BD3415" w:rsidRPr="00503B92">
        <w:rPr>
          <w:rFonts w:ascii="Times New Roman" w:hAnsi="Times New Roman" w:cs="Times New Roman"/>
          <w:sz w:val="24"/>
          <w:szCs w:val="24"/>
        </w:rPr>
        <w:t>is</w:t>
      </w:r>
      <w:r w:rsidR="00EE4B7B" w:rsidRPr="00503B92">
        <w:rPr>
          <w:rFonts w:ascii="Times New Roman" w:hAnsi="Times New Roman" w:cs="Times New Roman"/>
          <w:sz w:val="24"/>
          <w:szCs w:val="24"/>
        </w:rPr>
        <w:t xml:space="preserve"> more than 2% of the gross income, then it is tax deductible. Insurance payments also included a $1,700 paid in life insurance premiums. Premiums paid for personal l</w:t>
      </w:r>
      <w:r>
        <w:rPr>
          <w:rFonts w:ascii="Times New Roman" w:hAnsi="Times New Roman" w:cs="Times New Roman"/>
          <w:sz w:val="24"/>
          <w:szCs w:val="24"/>
        </w:rPr>
        <w:t>ife insurance cover are not tax-</w:t>
      </w:r>
      <w:r w:rsidR="00EE4B7B" w:rsidRPr="00503B92">
        <w:rPr>
          <w:rFonts w:ascii="Times New Roman" w:hAnsi="Times New Roman" w:cs="Times New Roman"/>
          <w:sz w:val="24"/>
          <w:szCs w:val="24"/>
        </w:rPr>
        <w:t>deductible</w:t>
      </w:r>
      <w:r w:rsidR="00BD3415" w:rsidRPr="00503B92">
        <w:rPr>
          <w:rFonts w:ascii="Times New Roman" w:hAnsi="Times New Roman" w:cs="Times New Roman"/>
          <w:sz w:val="24"/>
          <w:szCs w:val="24"/>
        </w:rPr>
        <w:t xml:space="preserve"> (</w:t>
      </w:r>
      <w:r w:rsidR="00BD3415" w:rsidRPr="00503B92">
        <w:rPr>
          <w:rFonts w:ascii="Times New Roman" w:hAnsi="Times New Roman" w:cs="Times New Roman"/>
          <w:sz w:val="24"/>
          <w:szCs w:val="24"/>
          <w:shd w:val="clear" w:color="auto" w:fill="FFFFFF"/>
        </w:rPr>
        <w:t xml:space="preserve">Ahuja, </w:t>
      </w:r>
      <w:r w:rsidR="00BD3415" w:rsidRPr="00503B92">
        <w:rPr>
          <w:rFonts w:ascii="Times New Roman" w:hAnsi="Times New Roman" w:cs="Times New Roman"/>
          <w:sz w:val="24"/>
          <w:szCs w:val="24"/>
          <w:shd w:val="clear" w:color="auto" w:fill="FFFFFF"/>
        </w:rPr>
        <w:t>2019)</w:t>
      </w:r>
      <w:r w:rsidR="00EE4B7B" w:rsidRPr="00503B92">
        <w:rPr>
          <w:rFonts w:ascii="Times New Roman" w:hAnsi="Times New Roman" w:cs="Times New Roman"/>
          <w:sz w:val="24"/>
          <w:szCs w:val="24"/>
        </w:rPr>
        <w:t>. Only insurance payments paid for e</w:t>
      </w:r>
      <w:r w:rsidR="006C21CE" w:rsidRPr="00503B92">
        <w:rPr>
          <w:rFonts w:ascii="Times New Roman" w:hAnsi="Times New Roman" w:cs="Times New Roman"/>
          <w:sz w:val="24"/>
          <w:szCs w:val="24"/>
        </w:rPr>
        <w:t>mpl</w:t>
      </w:r>
      <w:r>
        <w:rPr>
          <w:rFonts w:ascii="Times New Roman" w:hAnsi="Times New Roman" w:cs="Times New Roman"/>
          <w:sz w:val="24"/>
          <w:szCs w:val="24"/>
        </w:rPr>
        <w:t>oyees and other parties are tax-</w:t>
      </w:r>
      <w:r w:rsidR="006C21CE" w:rsidRPr="00503B92">
        <w:rPr>
          <w:rFonts w:ascii="Times New Roman" w:hAnsi="Times New Roman" w:cs="Times New Roman"/>
          <w:sz w:val="24"/>
          <w:szCs w:val="24"/>
        </w:rPr>
        <w:t xml:space="preserve">deductible. One cannot deduct life insurance premium from the taxable income if the policy is purchased for oneself. Life insurance policy is treated as a personal expense rather than a business expense and therefore for Dr. Sweet, personal life insurance premiums will not be tax deductible. However, the premiums paid for employees will be tax deductible. </w:t>
      </w:r>
    </w:p>
    <w:p w:rsidR="006C21CE" w:rsidRPr="00503B92" w:rsidRDefault="00503B92" w:rsidP="00503B9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C21CE" w:rsidRPr="00503B92">
        <w:rPr>
          <w:rFonts w:ascii="Times New Roman" w:hAnsi="Times New Roman" w:cs="Times New Roman"/>
          <w:sz w:val="24"/>
          <w:szCs w:val="24"/>
        </w:rPr>
        <w:t xml:space="preserve">Payments made to collection agency for amounts of $1,250 for assistance in collecting past due amounts from patients are tax deductible. Collection fees is always tax deductible regardless of whether the money is collected in full, partially or not collected at all. If the collection agency </w:t>
      </w:r>
      <w:r w:rsidR="006C21CE" w:rsidRPr="00503B92">
        <w:rPr>
          <w:rFonts w:ascii="Times New Roman" w:hAnsi="Times New Roman" w:cs="Times New Roman"/>
          <w:sz w:val="24"/>
          <w:szCs w:val="24"/>
        </w:rPr>
        <w:lastRenderedPageBreak/>
        <w:t>collects money, it will be part of income and therefore the collection agency fees is a business e</w:t>
      </w:r>
      <w:r w:rsidR="00BB29F5" w:rsidRPr="00503B92">
        <w:rPr>
          <w:rFonts w:ascii="Times New Roman" w:hAnsi="Times New Roman" w:cs="Times New Roman"/>
          <w:sz w:val="24"/>
          <w:szCs w:val="24"/>
        </w:rPr>
        <w:t>xpense which is tax-deductible.</w:t>
      </w:r>
    </w:p>
    <w:p w:rsidR="00BB29F5" w:rsidRPr="00503B92" w:rsidRDefault="00503B92" w:rsidP="00503B9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B29F5" w:rsidRPr="00503B92">
        <w:rPr>
          <w:rFonts w:ascii="Times New Roman" w:hAnsi="Times New Roman" w:cs="Times New Roman"/>
          <w:sz w:val="24"/>
          <w:szCs w:val="24"/>
        </w:rPr>
        <w:t xml:space="preserve">Payments made to charitable organizations are tax deductible depending on the type of charity organization that is given the contribution. Understanding the types of charitable organizations and which can be tax deducted is essential in minimizing taxable income and tax saving. Taxation law groups charity organizations according to mission and organizational structure. Donations to religious and charitable organizations are generally tax-deductible. Donations to civic organizations and social welfare groups are not tax deductible. For Dr. Sweet, the $600 paid in contributions to various registered charities will be tax deductible. </w:t>
      </w:r>
    </w:p>
    <w:p w:rsidR="00BB29F5" w:rsidRPr="00503B92" w:rsidRDefault="00503B92" w:rsidP="00503B9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3F14" w:rsidRPr="00503B92">
        <w:rPr>
          <w:rFonts w:ascii="Times New Roman" w:hAnsi="Times New Roman" w:cs="Times New Roman"/>
          <w:sz w:val="24"/>
          <w:szCs w:val="24"/>
        </w:rPr>
        <w:t xml:space="preserve">Employing a spouse works well in reducing taxable income. This is as long as the spouse doses not have another income. Dr. Sweet has employed her husband on full-time basis as a bookkeeper and receptionist. </w:t>
      </w:r>
      <w:r w:rsidR="00224B99" w:rsidRPr="00503B92">
        <w:rPr>
          <w:rFonts w:ascii="Times New Roman" w:hAnsi="Times New Roman" w:cs="Times New Roman"/>
          <w:sz w:val="24"/>
          <w:szCs w:val="24"/>
        </w:rPr>
        <w:t xml:space="preserve">She pays her husband a total of $18,000 which is tax deductible. Dr. Sweet therefore will deduct this amount from the gross income when computing the taxable income. </w:t>
      </w:r>
    </w:p>
    <w:p w:rsidR="00224B99" w:rsidRPr="00503B92" w:rsidRDefault="00503B92" w:rsidP="00503B9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24B99" w:rsidRPr="00503B92">
        <w:rPr>
          <w:rFonts w:ascii="Times New Roman" w:hAnsi="Times New Roman" w:cs="Times New Roman"/>
          <w:sz w:val="24"/>
          <w:szCs w:val="24"/>
        </w:rPr>
        <w:t xml:space="preserve">Dr. Sweet also spent $4,600 to attend a dental convention in phoenix, Arizona. $1,500 relates directly to the husband. Convention attendance costs are business </w:t>
      </w:r>
      <w:r w:rsidR="00BD3415" w:rsidRPr="00503B92">
        <w:rPr>
          <w:rFonts w:ascii="Times New Roman" w:hAnsi="Times New Roman" w:cs="Times New Roman"/>
          <w:sz w:val="24"/>
          <w:szCs w:val="24"/>
        </w:rPr>
        <w:t>expenses</w:t>
      </w:r>
      <w:r w:rsidR="00224B99" w:rsidRPr="00503B92">
        <w:rPr>
          <w:rFonts w:ascii="Times New Roman" w:hAnsi="Times New Roman" w:cs="Times New Roman"/>
          <w:sz w:val="24"/>
          <w:szCs w:val="24"/>
        </w:rPr>
        <w:t xml:space="preserve"> and are deductible for tax expenses. Travelling expe</w:t>
      </w:r>
      <w:r>
        <w:rPr>
          <w:rFonts w:ascii="Times New Roman" w:hAnsi="Times New Roman" w:cs="Times New Roman"/>
          <w:sz w:val="24"/>
          <w:szCs w:val="24"/>
        </w:rPr>
        <w:t>nses for conventions for both Dr</w:t>
      </w:r>
      <w:r w:rsidR="00224B99" w:rsidRPr="00503B92">
        <w:rPr>
          <w:rFonts w:ascii="Times New Roman" w:hAnsi="Times New Roman" w:cs="Times New Roman"/>
          <w:sz w:val="24"/>
          <w:szCs w:val="24"/>
        </w:rPr>
        <w:t>. Sweet are tax</w:t>
      </w:r>
      <w:r>
        <w:rPr>
          <w:rFonts w:ascii="Times New Roman" w:hAnsi="Times New Roman" w:cs="Times New Roman"/>
          <w:sz w:val="24"/>
          <w:szCs w:val="24"/>
        </w:rPr>
        <w:t>-</w:t>
      </w:r>
      <w:r w:rsidR="00224B99" w:rsidRPr="00503B92">
        <w:rPr>
          <w:rFonts w:ascii="Times New Roman" w:hAnsi="Times New Roman" w:cs="Times New Roman"/>
          <w:sz w:val="24"/>
          <w:szCs w:val="24"/>
        </w:rPr>
        <w:t xml:space="preserve">deductible since they are expenses incurred for the benefit of the business. </w:t>
      </w:r>
      <w:r w:rsidR="0010722D" w:rsidRPr="00503B92">
        <w:rPr>
          <w:rFonts w:ascii="Times New Roman" w:hAnsi="Times New Roman" w:cs="Times New Roman"/>
          <w:sz w:val="24"/>
          <w:szCs w:val="24"/>
        </w:rPr>
        <w:t xml:space="preserve">The </w:t>
      </w:r>
      <w:r w:rsidR="00BD3415" w:rsidRPr="00503B92">
        <w:rPr>
          <w:rFonts w:ascii="Times New Roman" w:hAnsi="Times New Roman" w:cs="Times New Roman"/>
          <w:sz w:val="24"/>
          <w:szCs w:val="24"/>
        </w:rPr>
        <w:t>expenses</w:t>
      </w:r>
      <w:r w:rsidR="0010722D" w:rsidRPr="00503B92">
        <w:rPr>
          <w:rFonts w:ascii="Times New Roman" w:hAnsi="Times New Roman" w:cs="Times New Roman"/>
          <w:sz w:val="24"/>
          <w:szCs w:val="24"/>
        </w:rPr>
        <w:t xml:space="preserve"> incurred for attendance of the convention are tax deductible for both her and her husband as long as she can ascertain they were spend to benefit the business. </w:t>
      </w:r>
    </w:p>
    <w:p w:rsidR="00503B92" w:rsidRDefault="00503B92" w:rsidP="00503B9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0722D" w:rsidRPr="00503B92">
        <w:rPr>
          <w:rFonts w:ascii="Times New Roman" w:hAnsi="Times New Roman" w:cs="Times New Roman"/>
          <w:sz w:val="24"/>
          <w:szCs w:val="24"/>
        </w:rPr>
        <w:t xml:space="preserve">Dr. Sweet paid $1,000 as membership fees in a wacquest club. This expense is tax deductible. Any club contributions are tax exempt. </w:t>
      </w:r>
      <w:r w:rsidR="005E0FA0" w:rsidRPr="00503B92">
        <w:rPr>
          <w:rFonts w:ascii="Times New Roman" w:hAnsi="Times New Roman" w:cs="Times New Roman"/>
          <w:sz w:val="24"/>
          <w:szCs w:val="24"/>
        </w:rPr>
        <w:t xml:space="preserve">Court time expenses are also tax deductible. IRS requires </w:t>
      </w:r>
      <w:r w:rsidR="005E0FA0" w:rsidRPr="00503B92">
        <w:rPr>
          <w:rFonts w:ascii="Times New Roman" w:hAnsi="Times New Roman" w:cs="Times New Roman"/>
          <w:sz w:val="24"/>
          <w:szCs w:val="24"/>
        </w:rPr>
        <w:lastRenderedPageBreak/>
        <w:t xml:space="preserve">legal fees incurred in course of business to be tax deductible. The $1,300 spend for court time is a deductible expense. However, the 40% spent playing with patients is not tax deductible. </w:t>
      </w:r>
    </w:p>
    <w:p w:rsidR="005E0FA0" w:rsidRPr="00503B92" w:rsidRDefault="00503B92" w:rsidP="00503B9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E0FA0" w:rsidRPr="00503B92">
        <w:rPr>
          <w:rFonts w:ascii="Times New Roman" w:hAnsi="Times New Roman" w:cs="Times New Roman"/>
          <w:sz w:val="24"/>
          <w:szCs w:val="24"/>
        </w:rPr>
        <w:t xml:space="preserve">Legal and accounting fees are tax deductible. Dr. Sweet spent </w:t>
      </w:r>
      <w:r>
        <w:rPr>
          <w:rFonts w:ascii="Times New Roman" w:hAnsi="Times New Roman" w:cs="Times New Roman"/>
          <w:sz w:val="24"/>
          <w:szCs w:val="24"/>
        </w:rPr>
        <w:t>$</w:t>
      </w:r>
      <w:r w:rsidR="005E0FA0" w:rsidRPr="00503B92">
        <w:rPr>
          <w:rFonts w:ascii="Times New Roman" w:hAnsi="Times New Roman" w:cs="Times New Roman"/>
          <w:sz w:val="24"/>
          <w:szCs w:val="24"/>
        </w:rPr>
        <w:t>1,200 in legal and accounting expenses. However, the legal fees were spent fighting a personal income tax assessment for previous year which is not deductible as the fight was not successful. The additional taxes of $13,000 and $1,600 in late payment interest are not tax</w:t>
      </w:r>
      <w:r>
        <w:rPr>
          <w:rFonts w:ascii="Times New Roman" w:hAnsi="Times New Roman" w:cs="Times New Roman"/>
          <w:sz w:val="24"/>
          <w:szCs w:val="24"/>
        </w:rPr>
        <w:t>-</w:t>
      </w:r>
      <w:r w:rsidR="005E0FA0" w:rsidRPr="00503B92">
        <w:rPr>
          <w:rFonts w:ascii="Times New Roman" w:hAnsi="Times New Roman" w:cs="Times New Roman"/>
          <w:sz w:val="24"/>
          <w:szCs w:val="24"/>
        </w:rPr>
        <w:t xml:space="preserve">deductible.  Lottery tickets are not business expenses and therefore are not deductible as a results, $ 3,200 spent purchasing provincial lottery tickets is not tax-deductible. </w:t>
      </w: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Pr="00BD3415" w:rsidRDefault="00BD3415" w:rsidP="00BD3415">
      <w:pPr>
        <w:pStyle w:val="ListParagraph"/>
        <w:spacing w:line="480" w:lineRule="auto"/>
        <w:jc w:val="both"/>
        <w:rPr>
          <w:rFonts w:ascii="Times New Roman" w:hAnsi="Times New Roman" w:cs="Times New Roman"/>
          <w:sz w:val="24"/>
          <w:szCs w:val="24"/>
        </w:rPr>
      </w:pPr>
    </w:p>
    <w:p w:rsidR="00BD3415" w:rsidRDefault="00BD3415" w:rsidP="00BD3415">
      <w:pPr>
        <w:pStyle w:val="ListParagraph"/>
        <w:spacing w:line="480" w:lineRule="auto"/>
        <w:jc w:val="both"/>
        <w:rPr>
          <w:rFonts w:ascii="Times New Roman" w:hAnsi="Times New Roman" w:cs="Times New Roman"/>
          <w:sz w:val="24"/>
          <w:szCs w:val="24"/>
        </w:rPr>
      </w:pPr>
    </w:p>
    <w:p w:rsidR="00503B92" w:rsidRDefault="00503B92" w:rsidP="00BD3415">
      <w:pPr>
        <w:pStyle w:val="ListParagraph"/>
        <w:spacing w:line="480" w:lineRule="auto"/>
        <w:jc w:val="both"/>
        <w:rPr>
          <w:rFonts w:ascii="Times New Roman" w:hAnsi="Times New Roman" w:cs="Times New Roman"/>
          <w:sz w:val="24"/>
          <w:szCs w:val="24"/>
        </w:rPr>
      </w:pPr>
    </w:p>
    <w:p w:rsidR="00503B92" w:rsidRDefault="00503B92" w:rsidP="00BD3415">
      <w:pPr>
        <w:pStyle w:val="ListParagraph"/>
        <w:spacing w:line="480" w:lineRule="auto"/>
        <w:jc w:val="both"/>
        <w:rPr>
          <w:rFonts w:ascii="Times New Roman" w:hAnsi="Times New Roman" w:cs="Times New Roman"/>
          <w:sz w:val="24"/>
          <w:szCs w:val="24"/>
        </w:rPr>
      </w:pPr>
    </w:p>
    <w:p w:rsidR="00503B92" w:rsidRPr="00BD3415" w:rsidRDefault="00503B92" w:rsidP="00BD3415">
      <w:pPr>
        <w:pStyle w:val="ListParagraph"/>
        <w:spacing w:line="480" w:lineRule="auto"/>
        <w:jc w:val="both"/>
        <w:rPr>
          <w:rFonts w:ascii="Times New Roman" w:hAnsi="Times New Roman" w:cs="Times New Roman"/>
          <w:sz w:val="24"/>
          <w:szCs w:val="24"/>
        </w:rPr>
      </w:pPr>
      <w:bookmarkStart w:id="0" w:name="_GoBack"/>
      <w:bookmarkEnd w:id="0"/>
    </w:p>
    <w:p w:rsidR="00BD3415" w:rsidRPr="00BD3415" w:rsidRDefault="00BD3415" w:rsidP="00BD3415">
      <w:pPr>
        <w:pStyle w:val="ListParagraph"/>
        <w:spacing w:line="480" w:lineRule="auto"/>
        <w:jc w:val="center"/>
        <w:rPr>
          <w:rFonts w:ascii="Times New Roman" w:hAnsi="Times New Roman" w:cs="Times New Roman"/>
          <w:sz w:val="24"/>
          <w:szCs w:val="24"/>
        </w:rPr>
      </w:pPr>
      <w:r w:rsidRPr="00BD3415">
        <w:rPr>
          <w:rFonts w:ascii="Times New Roman" w:hAnsi="Times New Roman" w:cs="Times New Roman"/>
          <w:sz w:val="24"/>
          <w:szCs w:val="24"/>
        </w:rPr>
        <w:lastRenderedPageBreak/>
        <w:t>References</w:t>
      </w:r>
    </w:p>
    <w:p w:rsidR="00BD3415" w:rsidRPr="00BD3415" w:rsidRDefault="00BD3415" w:rsidP="00BD3415">
      <w:pPr>
        <w:pStyle w:val="ListParagraph"/>
        <w:spacing w:line="480" w:lineRule="auto"/>
        <w:jc w:val="both"/>
        <w:rPr>
          <w:rFonts w:ascii="Times New Roman" w:hAnsi="Times New Roman" w:cs="Times New Roman"/>
          <w:sz w:val="24"/>
          <w:szCs w:val="24"/>
        </w:rPr>
      </w:pPr>
      <w:r w:rsidRPr="00BD3415">
        <w:rPr>
          <w:rFonts w:ascii="Times New Roman" w:hAnsi="Times New Roman" w:cs="Times New Roman"/>
          <w:sz w:val="24"/>
          <w:szCs w:val="24"/>
          <w:shd w:val="clear" w:color="auto" w:fill="FFFFFF"/>
        </w:rPr>
        <w:t>Ahuja, B. S. (2019). FINANCE for DENTISTS–Part VIII. </w:t>
      </w:r>
      <w:r w:rsidRPr="00BD3415">
        <w:rPr>
          <w:rFonts w:ascii="Times New Roman" w:hAnsi="Times New Roman" w:cs="Times New Roman"/>
          <w:i/>
          <w:iCs/>
          <w:sz w:val="24"/>
          <w:szCs w:val="24"/>
          <w:shd w:val="clear" w:color="auto" w:fill="FFFFFF"/>
        </w:rPr>
        <w:t xml:space="preserve">World Journal of Advanced </w:t>
      </w:r>
      <w:r>
        <w:rPr>
          <w:rFonts w:ascii="Times New Roman" w:hAnsi="Times New Roman" w:cs="Times New Roman"/>
          <w:i/>
          <w:iCs/>
          <w:sz w:val="24"/>
          <w:szCs w:val="24"/>
          <w:shd w:val="clear" w:color="auto" w:fill="FFFFFF"/>
        </w:rPr>
        <w:tab/>
      </w:r>
      <w:r w:rsidRPr="00BD3415">
        <w:rPr>
          <w:rFonts w:ascii="Times New Roman" w:hAnsi="Times New Roman" w:cs="Times New Roman"/>
          <w:i/>
          <w:iCs/>
          <w:sz w:val="24"/>
          <w:szCs w:val="24"/>
          <w:shd w:val="clear" w:color="auto" w:fill="FFFFFF"/>
        </w:rPr>
        <w:t>Scientific Research</w:t>
      </w:r>
      <w:r w:rsidRPr="00BD3415">
        <w:rPr>
          <w:rFonts w:ascii="Times New Roman" w:hAnsi="Times New Roman" w:cs="Times New Roman"/>
          <w:sz w:val="24"/>
          <w:szCs w:val="24"/>
          <w:shd w:val="clear" w:color="auto" w:fill="FFFFFF"/>
        </w:rPr>
        <w:t>, </w:t>
      </w:r>
      <w:r w:rsidRPr="00BD3415">
        <w:rPr>
          <w:rFonts w:ascii="Times New Roman" w:hAnsi="Times New Roman" w:cs="Times New Roman"/>
          <w:i/>
          <w:iCs/>
          <w:sz w:val="24"/>
          <w:szCs w:val="24"/>
          <w:shd w:val="clear" w:color="auto" w:fill="FFFFFF"/>
        </w:rPr>
        <w:t>2</w:t>
      </w:r>
      <w:r w:rsidRPr="00BD3415">
        <w:rPr>
          <w:rFonts w:ascii="Times New Roman" w:hAnsi="Times New Roman" w:cs="Times New Roman"/>
          <w:sz w:val="24"/>
          <w:szCs w:val="24"/>
          <w:shd w:val="clear" w:color="auto" w:fill="FFFFFF"/>
        </w:rPr>
        <w:t>(4).</w:t>
      </w:r>
    </w:p>
    <w:p w:rsidR="00BD3415" w:rsidRPr="00BD3415" w:rsidRDefault="00BD3415" w:rsidP="00BD3415">
      <w:pPr>
        <w:pStyle w:val="ListParagraph"/>
        <w:spacing w:line="480" w:lineRule="auto"/>
        <w:jc w:val="both"/>
        <w:rPr>
          <w:rFonts w:ascii="Times New Roman" w:hAnsi="Times New Roman" w:cs="Times New Roman"/>
          <w:sz w:val="24"/>
          <w:szCs w:val="24"/>
          <w:shd w:val="clear" w:color="auto" w:fill="FFFFFF"/>
        </w:rPr>
      </w:pPr>
      <w:r w:rsidRPr="00BD3415">
        <w:rPr>
          <w:rFonts w:ascii="Times New Roman" w:hAnsi="Times New Roman" w:cs="Times New Roman"/>
          <w:sz w:val="24"/>
          <w:szCs w:val="24"/>
          <w:shd w:val="clear" w:color="auto" w:fill="FFFFFF"/>
        </w:rPr>
        <w:t xml:space="preserve">SI, A. B., Darmayasa, I. N., &amp; Purwanta, I. W. (2020). Tax Planning for Income Tax Article </w:t>
      </w:r>
      <w:r>
        <w:rPr>
          <w:rFonts w:ascii="Times New Roman" w:hAnsi="Times New Roman" w:cs="Times New Roman"/>
          <w:sz w:val="24"/>
          <w:szCs w:val="24"/>
          <w:shd w:val="clear" w:color="auto" w:fill="FFFFFF"/>
        </w:rPr>
        <w:tab/>
      </w:r>
      <w:r w:rsidRPr="00BD3415">
        <w:rPr>
          <w:rFonts w:ascii="Times New Roman" w:hAnsi="Times New Roman" w:cs="Times New Roman"/>
          <w:sz w:val="24"/>
          <w:szCs w:val="24"/>
          <w:shd w:val="clear" w:color="auto" w:fill="FFFFFF"/>
        </w:rPr>
        <w:t>21 to Maximize Deductible Expenses on PT ABC. </w:t>
      </w:r>
      <w:r w:rsidRPr="00BD3415">
        <w:rPr>
          <w:rFonts w:ascii="Times New Roman" w:hAnsi="Times New Roman" w:cs="Times New Roman"/>
          <w:i/>
          <w:iCs/>
          <w:sz w:val="24"/>
          <w:szCs w:val="24"/>
          <w:shd w:val="clear" w:color="auto" w:fill="FFFFFF"/>
        </w:rPr>
        <w:t xml:space="preserve">Journal of Applied Sciences in </w:t>
      </w:r>
      <w:r>
        <w:rPr>
          <w:rFonts w:ascii="Times New Roman" w:hAnsi="Times New Roman" w:cs="Times New Roman"/>
          <w:i/>
          <w:iCs/>
          <w:sz w:val="24"/>
          <w:szCs w:val="24"/>
          <w:shd w:val="clear" w:color="auto" w:fill="FFFFFF"/>
        </w:rPr>
        <w:tab/>
      </w:r>
      <w:r w:rsidRPr="00BD3415">
        <w:rPr>
          <w:rFonts w:ascii="Times New Roman" w:hAnsi="Times New Roman" w:cs="Times New Roman"/>
          <w:i/>
          <w:iCs/>
          <w:sz w:val="24"/>
          <w:szCs w:val="24"/>
          <w:shd w:val="clear" w:color="auto" w:fill="FFFFFF"/>
        </w:rPr>
        <w:t>Accounting, Finance, and Tax</w:t>
      </w:r>
      <w:r w:rsidRPr="00BD3415">
        <w:rPr>
          <w:rFonts w:ascii="Times New Roman" w:hAnsi="Times New Roman" w:cs="Times New Roman"/>
          <w:sz w:val="24"/>
          <w:szCs w:val="24"/>
          <w:shd w:val="clear" w:color="auto" w:fill="FFFFFF"/>
        </w:rPr>
        <w:t>, </w:t>
      </w:r>
      <w:r w:rsidRPr="00BD3415">
        <w:rPr>
          <w:rFonts w:ascii="Times New Roman" w:hAnsi="Times New Roman" w:cs="Times New Roman"/>
          <w:i/>
          <w:iCs/>
          <w:sz w:val="24"/>
          <w:szCs w:val="24"/>
          <w:shd w:val="clear" w:color="auto" w:fill="FFFFFF"/>
        </w:rPr>
        <w:t>3</w:t>
      </w:r>
      <w:r w:rsidRPr="00BD3415">
        <w:rPr>
          <w:rFonts w:ascii="Times New Roman" w:hAnsi="Times New Roman" w:cs="Times New Roman"/>
          <w:sz w:val="24"/>
          <w:szCs w:val="24"/>
          <w:shd w:val="clear" w:color="auto" w:fill="FFFFFF"/>
        </w:rPr>
        <w:t>(1), 67-74.</w:t>
      </w:r>
    </w:p>
    <w:sectPr w:rsidR="00BD3415" w:rsidRPr="00BD3415" w:rsidSect="00BD3415">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615D" w:rsidRDefault="0020615D" w:rsidP="00BD3415">
      <w:pPr>
        <w:spacing w:after="0" w:line="240" w:lineRule="auto"/>
      </w:pPr>
      <w:r>
        <w:separator/>
      </w:r>
    </w:p>
  </w:endnote>
  <w:endnote w:type="continuationSeparator" w:id="0">
    <w:p w:rsidR="0020615D" w:rsidRDefault="0020615D" w:rsidP="00BD3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615D" w:rsidRDefault="0020615D" w:rsidP="00BD3415">
      <w:pPr>
        <w:spacing w:after="0" w:line="240" w:lineRule="auto"/>
      </w:pPr>
      <w:r>
        <w:separator/>
      </w:r>
    </w:p>
  </w:footnote>
  <w:footnote w:type="continuationSeparator" w:id="0">
    <w:p w:rsidR="0020615D" w:rsidRDefault="0020615D" w:rsidP="00BD34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5845087"/>
      <w:docPartObj>
        <w:docPartGallery w:val="Page Numbers (Top of Page)"/>
        <w:docPartUnique/>
      </w:docPartObj>
    </w:sdtPr>
    <w:sdtEndPr>
      <w:rPr>
        <w:noProof/>
      </w:rPr>
    </w:sdtEndPr>
    <w:sdtContent>
      <w:p w:rsidR="00BD3415" w:rsidRPr="00BD3415" w:rsidRDefault="00BD3415" w:rsidP="00BD3415">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ACCT </w:t>
        </w:r>
        <w:r>
          <w:rPr>
            <w:rFonts w:ascii="Times New Roman" w:hAnsi="Times New Roman" w:cs="Times New Roman"/>
            <w:sz w:val="24"/>
            <w:szCs w:val="24"/>
          </w:rPr>
          <w:t>2028 Taxation Assignment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fldChar w:fldCharType="begin"/>
        </w:r>
        <w:r>
          <w:instrText xml:space="preserve"> PAGE   \* MERGEFORMAT </w:instrText>
        </w:r>
        <w:r>
          <w:fldChar w:fldCharType="separate"/>
        </w:r>
        <w:r w:rsidR="00503B92">
          <w:rPr>
            <w:noProof/>
          </w:rPr>
          <w:t>5</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415" w:rsidRDefault="00BD3415">
    <w:pPr>
      <w:pStyle w:val="Header"/>
    </w:pPr>
    <w:r>
      <w:rPr>
        <w:rFonts w:ascii="Times New Roman" w:hAnsi="Times New Roman" w:cs="Times New Roman"/>
        <w:sz w:val="24"/>
        <w:szCs w:val="24"/>
      </w:rPr>
      <w:t xml:space="preserve">Running Head: </w:t>
    </w:r>
    <w:r>
      <w:rPr>
        <w:rFonts w:ascii="Times New Roman" w:hAnsi="Times New Roman" w:cs="Times New Roman"/>
        <w:sz w:val="24"/>
        <w:szCs w:val="24"/>
      </w:rPr>
      <w:t>ACCT 2028 Taxation Assignment</w:t>
    </w:r>
    <w:r>
      <w:rPr>
        <w:rFonts w:ascii="Times New Roman" w:hAnsi="Times New Roman" w:cs="Times New Roman"/>
        <w:sz w:val="24"/>
        <w:szCs w:val="24"/>
      </w:rPr>
      <w:t xml:space="preserve">                                                                         1</w:t>
    </w:r>
    <w:r>
      <w:rPr>
        <w:rFonts w:ascii="Times New Roman" w:hAnsi="Times New Roman" w:cs="Times New Roman"/>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F774E1"/>
    <w:multiLevelType w:val="hybridMultilevel"/>
    <w:tmpl w:val="885CC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C34"/>
    <w:rsid w:val="0010722D"/>
    <w:rsid w:val="0020615D"/>
    <w:rsid w:val="00224B99"/>
    <w:rsid w:val="005007FB"/>
    <w:rsid w:val="00503B92"/>
    <w:rsid w:val="005E0FA0"/>
    <w:rsid w:val="006C21CE"/>
    <w:rsid w:val="009D5C34"/>
    <w:rsid w:val="00A23E1B"/>
    <w:rsid w:val="00BB29F5"/>
    <w:rsid w:val="00BD3415"/>
    <w:rsid w:val="00EE4B7B"/>
    <w:rsid w:val="00F83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B47CF3-27F9-40D6-A24B-3B231770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5C34"/>
    <w:pPr>
      <w:ind w:left="720"/>
      <w:contextualSpacing/>
    </w:pPr>
  </w:style>
  <w:style w:type="paragraph" w:styleId="Header">
    <w:name w:val="header"/>
    <w:basedOn w:val="Normal"/>
    <w:link w:val="HeaderChar"/>
    <w:uiPriority w:val="99"/>
    <w:unhideWhenUsed/>
    <w:rsid w:val="00BD3415"/>
    <w:pPr>
      <w:tabs>
        <w:tab w:val="center" w:pos="4680"/>
        <w:tab w:val="right" w:pos="9360"/>
      </w:tabs>
      <w:spacing w:after="0" w:line="240" w:lineRule="auto"/>
    </w:pPr>
    <w:rPr>
      <w:lang w:val="en-CA"/>
    </w:rPr>
  </w:style>
  <w:style w:type="character" w:customStyle="1" w:styleId="HeaderChar">
    <w:name w:val="Header Char"/>
    <w:basedOn w:val="DefaultParagraphFont"/>
    <w:link w:val="Header"/>
    <w:uiPriority w:val="99"/>
    <w:rsid w:val="00BD3415"/>
    <w:rPr>
      <w:lang w:val="en-CA"/>
    </w:rPr>
  </w:style>
  <w:style w:type="paragraph" w:styleId="Footer">
    <w:name w:val="footer"/>
    <w:basedOn w:val="Normal"/>
    <w:link w:val="FooterChar"/>
    <w:uiPriority w:val="99"/>
    <w:unhideWhenUsed/>
    <w:rsid w:val="00BD34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3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5</Pages>
  <Words>738</Words>
  <Characters>4211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dc:creator>
  <cp:keywords/>
  <dc:description/>
  <cp:lastModifiedBy>sd</cp:lastModifiedBy>
  <cp:revision>1</cp:revision>
  <dcterms:created xsi:type="dcterms:W3CDTF">2021-08-09T16:22:00Z</dcterms:created>
  <dcterms:modified xsi:type="dcterms:W3CDTF">2021-08-09T18:55:00Z</dcterms:modified>
</cp:coreProperties>
</file>